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81F" w:rsidRPr="008A381F" w:rsidRDefault="008A381F" w:rsidP="008A381F">
      <w:pPr>
        <w:keepNext/>
        <w:suppressAutoHyphens/>
        <w:spacing w:before="120"/>
        <w:jc w:val="center"/>
        <w:rPr>
          <w:rFonts w:eastAsia="Times New Roman" w:cs="Times New Roman"/>
          <w:bCs/>
          <w:szCs w:val="24"/>
        </w:rPr>
      </w:pPr>
      <w:bookmarkStart w:id="0" w:name="_GoBack"/>
      <w:bookmarkEnd w:id="0"/>
      <w:r w:rsidRPr="008A381F">
        <w:rPr>
          <w:rFonts w:eastAsia="Times New Roman" w:cs="Times New Roman"/>
          <w:bCs/>
          <w:szCs w:val="24"/>
        </w:rPr>
        <w:t>UZASADNIENIE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Projekt ustawy przewiduje wprowadzenie zmian w</w:t>
      </w:r>
      <w:r w:rsidRPr="008A381F">
        <w:rPr>
          <w:rFonts w:cs="Times New Roman"/>
        </w:rPr>
        <w:t xml:space="preserve"> </w:t>
      </w:r>
      <w:r w:rsidRPr="008A381F">
        <w:rPr>
          <w:rFonts w:eastAsia="Times New Roman" w:cs="Times New Roman"/>
          <w:bCs/>
        </w:rPr>
        <w:t>ustaw</w:t>
      </w:r>
      <w:r>
        <w:rPr>
          <w:rFonts w:eastAsia="Times New Roman" w:cs="Times New Roman"/>
          <w:bCs/>
        </w:rPr>
        <w:t>ie z dnia 10 stycznia 2018 r. o </w:t>
      </w:r>
      <w:r w:rsidRPr="008A381F">
        <w:rPr>
          <w:rFonts w:eastAsia="Times New Roman" w:cs="Times New Roman"/>
          <w:bCs/>
        </w:rPr>
        <w:t>zmianie ustawy o płatnościach w ramach systemów wsparcia bezpośredniego oraz niektórych innych ustaw (Dz. U. z 2018 r. poz. 311).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Celem projektowanych zmian jest przedłużenie na 20</w:t>
      </w:r>
      <w:r>
        <w:rPr>
          <w:rFonts w:eastAsia="Times New Roman" w:cs="Times New Roman"/>
          <w:bCs/>
        </w:rPr>
        <w:t>19 r. rozwiązań zastosowanych w </w:t>
      </w:r>
      <w:r w:rsidRPr="008A381F">
        <w:rPr>
          <w:rFonts w:eastAsia="Times New Roman" w:cs="Times New Roman"/>
          <w:bCs/>
        </w:rPr>
        <w:t>2018 r.</w:t>
      </w:r>
      <w:r w:rsidR="00414C85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polegających na umożliwieniu rolnikom ubiegającym się o przyznanie płatności bezpośrednich lub płatności obszarowych w ramach Programu Rozwoju Obszarów Wiejskich (PROW) złożenie – zamiast wniosku o przyznanie tych płatności – oświadczenia, w którym potwierdzą brak zmian w</w:t>
      </w:r>
      <w:r>
        <w:rPr>
          <w:rFonts w:eastAsia="Times New Roman" w:cs="Times New Roman"/>
          <w:bCs/>
        </w:rPr>
        <w:t xml:space="preserve"> </w:t>
      </w:r>
      <w:r w:rsidRPr="008A381F">
        <w:rPr>
          <w:rFonts w:eastAsia="Times New Roman" w:cs="Times New Roman"/>
          <w:bCs/>
        </w:rPr>
        <w:t>po</w:t>
      </w:r>
      <w:r>
        <w:rPr>
          <w:rFonts w:eastAsia="Times New Roman" w:cs="Times New Roman"/>
          <w:bCs/>
        </w:rPr>
        <w:t>równaniu do wniosku złożonego w </w:t>
      </w:r>
      <w:r w:rsidRPr="008A381F">
        <w:rPr>
          <w:rFonts w:eastAsia="Times New Roman" w:cs="Times New Roman"/>
          <w:bCs/>
        </w:rPr>
        <w:t>poprzednim roku.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Wprowadzone w 2018 r. rozwiązanie pozwoliło znacznie uprościć procedurę wnioskowania o płatności, co było szczególnie istotne w związku z koniecznością wypełnienia obowiązku sukcesywnego wdrażania tzw. geoprzestrzennego wniosku (GSAA)</w:t>
      </w:r>
      <w:r w:rsidR="00EE45A8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nałożonego na państwa członkowskie Unii Europejskiej. Obowiązek ten wynika z art. 17 ust. 2 rozporządzenia wykonawczego Komisji (UE) nr</w:t>
      </w:r>
      <w:r>
        <w:rPr>
          <w:rFonts w:eastAsia="Times New Roman" w:cs="Times New Roman"/>
          <w:bCs/>
        </w:rPr>
        <w:t xml:space="preserve"> </w:t>
      </w:r>
      <w:r w:rsidRPr="008A381F">
        <w:rPr>
          <w:rFonts w:eastAsia="Times New Roman" w:cs="Times New Roman"/>
          <w:bCs/>
        </w:rPr>
        <w:t>809/2014</w:t>
      </w:r>
      <w:r w:rsidRPr="008A381F">
        <w:rPr>
          <w:rFonts w:eastAsia="Times New Roman" w:cs="Times New Roman"/>
          <w:bCs/>
          <w:vertAlign w:val="superscript"/>
        </w:rPr>
        <w:footnoteReference w:id="1"/>
      </w:r>
      <w:r w:rsidRPr="008A381F">
        <w:rPr>
          <w:rFonts w:eastAsia="Times New Roman" w:cs="Times New Roman"/>
          <w:bCs/>
          <w:vertAlign w:val="superscript"/>
        </w:rPr>
        <w:t>)</w:t>
      </w:r>
      <w:r w:rsidRPr="008A381F">
        <w:rPr>
          <w:rFonts w:eastAsia="Times New Roman" w:cs="Times New Roman"/>
          <w:bCs/>
        </w:rPr>
        <w:t>, przy czym kilka państw członkowskich Unii Europejskiej, w tym Polskę, upoważniono do stosowania odstępstwa od tego przepisu. W wyniku derogacji harmonogram wprowadzania formularza geoprzestrzennego wniosku w Polsce jest następujący: od 2018 r. – co najmniej 25%, od 2019 r. – co najmniej 75%, od 2020 r. – 100%.</w:t>
      </w:r>
    </w:p>
    <w:p w:rsidR="008A381F" w:rsidRPr="008A381F" w:rsidRDefault="008A381F" w:rsidP="008A381F">
      <w:pPr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Z uwagi na fakt, że 2019 r. jest dopiero drugim rokie</w:t>
      </w:r>
      <w:r>
        <w:rPr>
          <w:rFonts w:eastAsia="Times New Roman" w:cs="Times New Roman"/>
          <w:bCs/>
        </w:rPr>
        <w:t>m, w którym wszystkie wnioski o </w:t>
      </w:r>
      <w:r w:rsidRPr="008A381F">
        <w:rPr>
          <w:rFonts w:eastAsia="Times New Roman" w:cs="Times New Roman"/>
          <w:bCs/>
        </w:rPr>
        <w:t xml:space="preserve">przyznanie pomocy w ramach systemów pomocy obszarowej oraz wnioski o płatność w ramach środków wsparcia obszarowego mają być składane na elektronicznym formularzu geoprzestrzennego wniosku, </w:t>
      </w:r>
      <w:r w:rsidR="00837E0F" w:rsidRPr="008A381F">
        <w:rPr>
          <w:rFonts w:eastAsia="Times New Roman" w:cs="Times New Roman"/>
          <w:bCs/>
        </w:rPr>
        <w:t xml:space="preserve">jest </w:t>
      </w:r>
      <w:r w:rsidRPr="008A381F">
        <w:rPr>
          <w:rFonts w:eastAsia="Times New Roman" w:cs="Times New Roman"/>
          <w:bCs/>
        </w:rPr>
        <w:t>zasadne wydłużenie tego przejściowego rozwiązania, aby zapewnić sprawne wypełnienie tego obowiązku.</w:t>
      </w:r>
      <w:r w:rsidRPr="008A381F">
        <w:rPr>
          <w:rFonts w:eastAsia="Times New Roman" w:cs="Times New Roman"/>
          <w:bCs/>
          <w:sz w:val="20"/>
        </w:rPr>
        <w:t xml:space="preserve"> 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 xml:space="preserve">Tak samo jak w 2018 r., złożenie oświadczenia będzie oznaczało wnioskowanie o te same płatności co w roku poprzednim. Rolnicy będą mogli składać oświadczenia w terminie od dnia 15 lutego do dnia 14 marca </w:t>
      </w:r>
      <w:r w:rsidR="001865AB">
        <w:rPr>
          <w:rFonts w:eastAsia="Times New Roman" w:cs="Times New Roman"/>
          <w:bCs/>
        </w:rPr>
        <w:t xml:space="preserve">2019 r. </w:t>
      </w:r>
      <w:r w:rsidRPr="008A381F">
        <w:rPr>
          <w:rFonts w:eastAsia="Times New Roman" w:cs="Times New Roman"/>
          <w:bCs/>
        </w:rPr>
        <w:t>(czyli w miesięcznym okresie poprzedzającym podstawowy okres składania wniosków o przyznanie płatności), na formularzu opracowanym i udostępnionym p</w:t>
      </w:r>
      <w:r>
        <w:rPr>
          <w:rFonts w:eastAsia="Times New Roman" w:cs="Times New Roman"/>
          <w:bCs/>
        </w:rPr>
        <w:t xml:space="preserve">rzez Agencję Restrukturyzacji </w:t>
      </w:r>
      <w:r>
        <w:rPr>
          <w:rFonts w:eastAsia="Times New Roman" w:cs="Times New Roman"/>
          <w:bCs/>
        </w:rPr>
        <w:lastRenderedPageBreak/>
        <w:t>i </w:t>
      </w:r>
      <w:r w:rsidRPr="008A381F">
        <w:rPr>
          <w:rFonts w:eastAsia="Times New Roman" w:cs="Times New Roman"/>
          <w:bCs/>
        </w:rPr>
        <w:t>Modernizacji Rolnictwa.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Z możliwości złożenia oświadczenia będą mogli skorzystać rolnicy, w</w:t>
      </w:r>
      <w:r>
        <w:rPr>
          <w:rFonts w:eastAsia="Times New Roman" w:cs="Times New Roman"/>
          <w:bCs/>
        </w:rPr>
        <w:t xml:space="preserve"> </w:t>
      </w:r>
      <w:r w:rsidRPr="008A381F">
        <w:rPr>
          <w:rFonts w:eastAsia="Times New Roman" w:cs="Times New Roman"/>
          <w:bCs/>
        </w:rPr>
        <w:t>gospodarstwach których nie nastąpiły żadne zmiany, które miałyby wpływ na treść składanego wniosku. Z tego względu, wzorem roku ubiegłego, projektowane przepisy przewidują możliwość składania oświadczeń zastępujących wnioski o przyznanie płatności przez rolników, którzy w 2018 r. wnioskowali wyłącznie o jednolitą płatność obszarową, płatność za zazielenienie, płatność dodatkową, płatność związaną do powierzchni uprawy chmielu, płatność do owiec, płatność do kóz lub płatność niezwiązaną do tytoniu. Są to bowiem płatności:</w:t>
      </w:r>
    </w:p>
    <w:p w:rsidR="008A381F" w:rsidRPr="008A381F" w:rsidRDefault="008A381F" w:rsidP="008A381F">
      <w:pPr>
        <w:numPr>
          <w:ilvl w:val="0"/>
          <w:numId w:val="1"/>
        </w:numPr>
        <w:suppressAutoHyphens/>
        <w:ind w:left="284" w:hanging="284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o charakterze ogólnym, przyznawane do wszystkich gruntów rolnych niezależnie od kierunku prowadzonej na nich produkcji (jednolita płatność obszarowa, płatność za zazielenienie, płatność dodatkowa);</w:t>
      </w:r>
    </w:p>
    <w:p w:rsidR="008A381F" w:rsidRPr="008A381F" w:rsidRDefault="008A381F" w:rsidP="008A381F">
      <w:pPr>
        <w:numPr>
          <w:ilvl w:val="0"/>
          <w:numId w:val="1"/>
        </w:numPr>
        <w:suppressAutoHyphens/>
        <w:ind w:left="284" w:hanging="284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do sektora o charakterze trwałym, jakim jest produkcja chmielu;</w:t>
      </w:r>
    </w:p>
    <w:p w:rsidR="008A381F" w:rsidRPr="008A381F" w:rsidRDefault="008A381F" w:rsidP="008A381F">
      <w:pPr>
        <w:numPr>
          <w:ilvl w:val="0"/>
          <w:numId w:val="1"/>
        </w:numPr>
        <w:suppressAutoHyphens/>
        <w:ind w:left="284" w:hanging="284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do sektorów zwierzęcych (owce, kozy), w których stosowany jest bezwnioskowy system ubiegania się o płatności, o którym mowa w art. 21 ust. 4 rozporządzenia wykonawczego Komisji (UE) nr 809/2014;</w:t>
      </w:r>
    </w:p>
    <w:p w:rsidR="008A381F" w:rsidRPr="008A381F" w:rsidRDefault="008A381F" w:rsidP="008A381F">
      <w:pPr>
        <w:numPr>
          <w:ilvl w:val="0"/>
          <w:numId w:val="1"/>
        </w:numPr>
        <w:suppressAutoHyphens/>
        <w:ind w:left="284" w:hanging="284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historyczne – niezależne od aktualnie prowadzonej produkcji (płatność niezwiązana do tytoniu).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Wymienione cechy sprawiają, że rolnicy ubiegający się o te formy wsparcia stanowią grupę obejmującą gospodarstwa, w których występuje znacznie niższa zmienność struktury prowadzonej produkcji niż w pozostałych gospodarstwach. Jednocześnie proponuje się, aby spośród tej grupy gospodarstw możliwość składania oświadczeń dotyczyła gospodarstw, w których powierzchnia gruntów ornych wynosi mniej niż 10 ha. Jest to bowiem graniczna wielkość określona w art. 44 ust. 1 rozporządzenia Parlamentu Europejskiego i Rady (UE) nr 1307/2013, od której rolnicy są obowiązani przestrzegać warunku dywersyfikacji upraw, co z kolei skutkuje koniecznością wskazywania we wniosku o przyznanie płatności poszczególnych upraw (a nie tylko grup upraw, jak w przypadku pozostałych gospodarstw). Rolnicy gospodarujący na powierzchni gruntów ornych mniejszej niż 10 ha znajdują się więc – już na podstawie przepisów Unii Europejskiej – w innej sytuacji niż rolnicy z większą powierzchnią takich gruntów.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 xml:space="preserve">Na formularzu wniosku o przyznanie płatności bezpośrednich można także ubiegać się </w:t>
      </w:r>
      <w:r w:rsidRPr="008A381F">
        <w:rPr>
          <w:rFonts w:eastAsia="Times New Roman" w:cs="Times New Roman"/>
          <w:bCs/>
        </w:rPr>
        <w:lastRenderedPageBreak/>
        <w:t>o przyznanie płatności obszarowych PROW. Wśród beneficjentów tego wsparcia również można wyróżnić grupę gospodarstw o znacznie niższej (z roku na rok) zmienności w ramach zakresu wnioskowania. Uzasadnia to włączenie tej grupy beneficjentów do grupy uprawnionej do złożenia oświadczenia zastępującego wniosek. Taka niewielka zmienność w zakresie wnioskowania występuje wśród beneficjentów działań PROW 2007–2013</w:t>
      </w:r>
      <w:r w:rsidR="00414C85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tj. Zalesianie gruntów rolnych oraz zalesianie gruntów innych niż rolne</w:t>
      </w:r>
      <w:r w:rsidR="00414C85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oraz działań PROW 2014–2020</w:t>
      </w:r>
      <w:r w:rsidR="00414C85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tj. Inwestycje w rozwój obszarów leśnych i poprawę żywotności lasów oraz Płatności dla obszarów z ograniczeniami naturalnymi lub innymi szczególnymi ograniczeniami. Ta niewielka zmienność zdecydowanie odróżnia beneficjentów ww. działań od beneficjentów innych płatności obszarowych PROW, dlatego też w zakresie wymienionych działań PROW </w:t>
      </w:r>
      <w:r w:rsidR="0048394F" w:rsidRPr="008A381F">
        <w:rPr>
          <w:rFonts w:eastAsia="Times New Roman" w:cs="Times New Roman"/>
          <w:bCs/>
        </w:rPr>
        <w:t xml:space="preserve">zostały </w:t>
      </w:r>
      <w:r w:rsidRPr="008A381F">
        <w:rPr>
          <w:rFonts w:eastAsia="Times New Roman" w:cs="Times New Roman"/>
          <w:bCs/>
        </w:rPr>
        <w:t>wprowadzone rozwiązania analogiczne do rozwiązań zastosowanych w płatnościach bezpośrednich (art. 6b i art. 6c projektu ustawy).</w:t>
      </w:r>
    </w:p>
    <w:p w:rsidR="008A381F" w:rsidRPr="008A381F" w:rsidRDefault="008A381F" w:rsidP="008A381F">
      <w:pPr>
        <w:pStyle w:val="ZARTzmartartykuempunktem"/>
        <w:spacing w:before="120"/>
        <w:ind w:left="0" w:firstLine="0"/>
        <w:rPr>
          <w:rFonts w:ascii="Times New Roman" w:hAnsi="Times New Roman" w:cs="Times New Roman"/>
          <w:bCs/>
        </w:rPr>
      </w:pPr>
      <w:r w:rsidRPr="008A381F">
        <w:rPr>
          <w:rFonts w:ascii="Times New Roman" w:hAnsi="Times New Roman" w:cs="Times New Roman"/>
          <w:bCs/>
          <w:szCs w:val="24"/>
        </w:rPr>
        <w:t>Jednocześnie, biorąc pod uwagę nową delimitację obszarów</w:t>
      </w:r>
      <w:r w:rsidRPr="008A381F">
        <w:rPr>
          <w:rFonts w:ascii="Times New Roman" w:hAnsi="Times New Roman" w:cs="Times New Roman"/>
          <w:szCs w:val="24"/>
        </w:rPr>
        <w:t xml:space="preserve"> z ograniczeniami naturalnymi (</w:t>
      </w:r>
      <w:r w:rsidRPr="008A381F">
        <w:rPr>
          <w:rFonts w:ascii="Times New Roman" w:hAnsi="Times New Roman" w:cs="Times New Roman"/>
          <w:bCs/>
          <w:szCs w:val="24"/>
        </w:rPr>
        <w:t>ONW), która zacznie obowiązywać w Polsce od 2019 r., z możliwości złożenia oświadczenia wyłączono rolników, którz</w:t>
      </w:r>
      <w:r>
        <w:rPr>
          <w:rFonts w:ascii="Times New Roman" w:hAnsi="Times New Roman" w:cs="Times New Roman"/>
          <w:bCs/>
          <w:szCs w:val="24"/>
        </w:rPr>
        <w:t>y dotychczas nie ubiegali się o </w:t>
      </w:r>
      <w:r w:rsidRPr="008A381F">
        <w:rPr>
          <w:rFonts w:ascii="Times New Roman" w:hAnsi="Times New Roman" w:cs="Times New Roman"/>
          <w:bCs/>
          <w:szCs w:val="24"/>
        </w:rPr>
        <w:t xml:space="preserve">płatność ONW i których grunty </w:t>
      </w:r>
      <w:r w:rsidRPr="008A381F">
        <w:rPr>
          <w:rFonts w:ascii="Times New Roman" w:hAnsi="Times New Roman" w:cs="Times New Roman"/>
          <w:bCs/>
        </w:rPr>
        <w:t xml:space="preserve">po raz pierwszy </w:t>
      </w:r>
      <w:r w:rsidRPr="008A381F">
        <w:rPr>
          <w:rFonts w:ascii="Times New Roman" w:hAnsi="Times New Roman" w:cs="Times New Roman"/>
          <w:bCs/>
          <w:szCs w:val="24"/>
        </w:rPr>
        <w:t xml:space="preserve">będą </w:t>
      </w:r>
      <w:r>
        <w:rPr>
          <w:rFonts w:ascii="Times New Roman" w:hAnsi="Times New Roman" w:cs="Times New Roman"/>
          <w:bCs/>
        </w:rPr>
        <w:t>kwalifikowały się do pomocy w </w:t>
      </w:r>
      <w:r w:rsidRPr="008A381F">
        <w:rPr>
          <w:rFonts w:ascii="Times New Roman" w:hAnsi="Times New Roman" w:cs="Times New Roman"/>
          <w:bCs/>
        </w:rPr>
        <w:t xml:space="preserve">ramach działania </w:t>
      </w:r>
      <w:r w:rsidRPr="008A381F">
        <w:rPr>
          <w:rFonts w:ascii="Times New Roman" w:hAnsi="Times New Roman" w:cs="Times New Roman"/>
          <w:bCs/>
          <w:szCs w:val="24"/>
        </w:rPr>
        <w:t>Płatności dla obszarów z ograniczeniami naturalnymi lub innymi szczególnymi ograniczeniami,</w:t>
      </w:r>
      <w:r w:rsidRPr="008A381F">
        <w:rPr>
          <w:rFonts w:ascii="Times New Roman" w:hAnsi="Times New Roman" w:cs="Times New Roman"/>
          <w:bCs/>
          <w:i/>
          <w:szCs w:val="24"/>
        </w:rPr>
        <w:t xml:space="preserve"> </w:t>
      </w:r>
      <w:r w:rsidRPr="008A381F">
        <w:rPr>
          <w:rFonts w:ascii="Times New Roman" w:hAnsi="Times New Roman" w:cs="Times New Roman"/>
          <w:bCs/>
          <w:szCs w:val="24"/>
        </w:rPr>
        <w:t xml:space="preserve">objętego Programem Rozwoju Obszarów Wiejskich na lata 2014–2020 (art. 6d projektowanej ustawy). </w:t>
      </w:r>
      <w:r w:rsidRPr="008A381F">
        <w:rPr>
          <w:rFonts w:ascii="Times New Roman" w:hAnsi="Times New Roman" w:cs="Times New Roman"/>
          <w:bCs/>
        </w:rPr>
        <w:t xml:space="preserve">Wyłączenie to jest korzystne dla rolników, gdyż pozwoli uniknąć sytuacji, w której rolnicy mogący uzyskać płatność ONW </w:t>
      </w:r>
      <w:r w:rsidR="00842CC4">
        <w:rPr>
          <w:rFonts w:ascii="Times New Roman" w:hAnsi="Times New Roman" w:cs="Times New Roman"/>
          <w:bCs/>
        </w:rPr>
        <w:t>do</w:t>
      </w:r>
      <w:r w:rsidRPr="008A381F">
        <w:rPr>
          <w:rFonts w:ascii="Times New Roman" w:hAnsi="Times New Roman" w:cs="Times New Roman"/>
          <w:bCs/>
        </w:rPr>
        <w:t xml:space="preserve"> grunt</w:t>
      </w:r>
      <w:r w:rsidR="00842CC4">
        <w:rPr>
          <w:rFonts w:ascii="Times New Roman" w:hAnsi="Times New Roman" w:cs="Times New Roman"/>
          <w:bCs/>
        </w:rPr>
        <w:t>ów</w:t>
      </w:r>
      <w:r w:rsidRPr="008A381F">
        <w:rPr>
          <w:rFonts w:ascii="Times New Roman" w:hAnsi="Times New Roman" w:cs="Times New Roman"/>
          <w:bCs/>
        </w:rPr>
        <w:t>, które dotychczas nie kwalifikowały się do tego wsparcia, złożyliby oświadczenia, pozbawiając się możliwości uzyskania tej pomocy.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Ponadto w art. 1 pkt 2 projektowanej ustawy proponuje się zmienić brzmienie art. 7 zmienianej ustawy w taki sposób, aby nałożony na Agen</w:t>
      </w:r>
      <w:r>
        <w:rPr>
          <w:rFonts w:eastAsia="Times New Roman" w:cs="Times New Roman"/>
          <w:bCs/>
        </w:rPr>
        <w:t>cję Restrukturyzacji i </w:t>
      </w:r>
      <w:r w:rsidRPr="008A381F">
        <w:rPr>
          <w:rFonts w:eastAsia="Times New Roman" w:cs="Times New Roman"/>
          <w:bCs/>
        </w:rPr>
        <w:t>Modernizacji Rolnictwa obowiązek przesyłania rolnikom częściowo wypełnionych wniosków w formie papierowej</w:t>
      </w:r>
      <w:r w:rsidR="00842CC4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wraz z materiałami graficznymi, dotyczył wszystkich rolników, którzy złożyli w poprzednim roku wnioski o przyznanie płatności, a nie tylko tych, którzy uczynili to w formie papierowej. Przesłane przez Agencję Restrukturyzacji i Modernizacji Rolnictwa informacje ułatwiają wypełnianie wniosków o przyznanie płatności, a ze względu na fakt, że w 2018 r. znaczna część rolników złożyła </w:t>
      </w:r>
      <w:r>
        <w:rPr>
          <w:rFonts w:eastAsia="Times New Roman" w:cs="Times New Roman"/>
          <w:bCs/>
        </w:rPr>
        <w:t>wnioski w </w:t>
      </w:r>
      <w:r w:rsidRPr="008A381F">
        <w:rPr>
          <w:rFonts w:eastAsia="Times New Roman" w:cs="Times New Roman"/>
          <w:bCs/>
        </w:rPr>
        <w:t>formie elektronicznej</w:t>
      </w:r>
      <w:r w:rsidR="002938E2">
        <w:rPr>
          <w:rFonts w:eastAsia="Times New Roman" w:cs="Times New Roman"/>
          <w:bCs/>
        </w:rPr>
        <w:t>,</w:t>
      </w:r>
      <w:r w:rsidRPr="008A381F">
        <w:rPr>
          <w:rFonts w:eastAsia="Times New Roman" w:cs="Times New Roman"/>
          <w:bCs/>
        </w:rPr>
        <w:t xml:space="preserve"> jest </w:t>
      </w:r>
      <w:r w:rsidR="002938E2" w:rsidRPr="008A381F">
        <w:rPr>
          <w:rFonts w:eastAsia="Times New Roman" w:cs="Times New Roman"/>
          <w:bCs/>
        </w:rPr>
        <w:t xml:space="preserve">zasadne </w:t>
      </w:r>
      <w:r w:rsidRPr="008A381F">
        <w:rPr>
          <w:rFonts w:eastAsia="Times New Roman" w:cs="Times New Roman"/>
          <w:bCs/>
        </w:rPr>
        <w:t>rozszerzenie tego rozwiązania również na takich rolników.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Zgodnie z projektowanym art. 2, ustawa wejdzie w życie w dniu następującym po dniu ogłoszenia. Z uwagi na fakt, że składanie oświadczeń zastępujących wni</w:t>
      </w:r>
      <w:r>
        <w:rPr>
          <w:rFonts w:eastAsia="Times New Roman" w:cs="Times New Roman"/>
          <w:bCs/>
        </w:rPr>
        <w:t>oski o </w:t>
      </w:r>
      <w:r w:rsidRPr="008A381F">
        <w:rPr>
          <w:rFonts w:eastAsia="Times New Roman" w:cs="Times New Roman"/>
          <w:bCs/>
        </w:rPr>
        <w:t>przyznanie płatności możliwe będzie od dnia 15 lutego 2019 r., a także na to, że przed terminem rozpoczęcia okresu składania wniosków o przyz</w:t>
      </w:r>
      <w:r>
        <w:rPr>
          <w:rFonts w:eastAsia="Times New Roman" w:cs="Times New Roman"/>
          <w:bCs/>
        </w:rPr>
        <w:t>nanie płatności za 2019 r., tj. </w:t>
      </w:r>
      <w:r w:rsidRPr="008A381F">
        <w:rPr>
          <w:rFonts w:eastAsia="Times New Roman" w:cs="Times New Roman"/>
          <w:bCs/>
        </w:rPr>
        <w:t xml:space="preserve">dniem 15 marca 2019 r., rolnicy powinni otrzymać z Agencji Restrukturyzacji </w:t>
      </w:r>
      <w:r>
        <w:rPr>
          <w:rFonts w:eastAsia="Times New Roman" w:cs="Times New Roman"/>
          <w:bCs/>
        </w:rPr>
        <w:t>i </w:t>
      </w:r>
      <w:r w:rsidRPr="008A381F">
        <w:rPr>
          <w:rFonts w:eastAsia="Times New Roman" w:cs="Times New Roman"/>
          <w:bCs/>
        </w:rPr>
        <w:t>Modernizacji Rolnictwa częściowo wypełnione wni</w:t>
      </w:r>
      <w:r>
        <w:rPr>
          <w:rFonts w:eastAsia="Times New Roman" w:cs="Times New Roman"/>
          <w:bCs/>
        </w:rPr>
        <w:t>oski w formie papierowej</w:t>
      </w:r>
      <w:r w:rsidR="00842CC4">
        <w:rPr>
          <w:rFonts w:eastAsia="Times New Roman" w:cs="Times New Roman"/>
          <w:bCs/>
        </w:rPr>
        <w:t>,</w:t>
      </w:r>
      <w:r>
        <w:rPr>
          <w:rFonts w:eastAsia="Times New Roman" w:cs="Times New Roman"/>
          <w:bCs/>
        </w:rPr>
        <w:t xml:space="preserve"> wraz z </w:t>
      </w:r>
      <w:r w:rsidRPr="008A381F">
        <w:rPr>
          <w:rFonts w:eastAsia="Times New Roman" w:cs="Times New Roman"/>
          <w:bCs/>
        </w:rPr>
        <w:t>materiałami graficznymi, konieczne jest pilne przyjęcie projektowanej ustawy. Projektowane przepisy wprowadzają rozwiązania korzystne dla obywateli i nie nakładają na nich żadnych obowiązków. Proponowany termin wejścia w życie ustawy nie narusza więc zasad demokratycznego państwa prawnego.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Projektowana ustawa jest zgodna z prawem Unii Europejskiej.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Projekt ustawy nie wymaga zasięgnięcia opinii, dokonania konsultacji albo uzgodnienia z organami i instytucjami Unii Europejskiej, w tym z Europejskim Bankiem Centralnym.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  <w:szCs w:val="24"/>
        </w:rPr>
        <w:t>Projekt ustawy nie zawiera przepisów technicznych, w związku</w:t>
      </w:r>
      <w:r w:rsidRPr="008A381F">
        <w:rPr>
          <w:rFonts w:eastAsia="Times New Roman" w:cs="Times New Roman"/>
          <w:bCs/>
        </w:rPr>
        <w:t xml:space="preserve"> z tym nie podlega procedurze notyfikacji zgodnie z rozporządzeniem Rady Ministrów z dnia 23 grudnia 2002 r. w sprawie sposobu funkcjonowania krajowego systemu notyfikacji norm i aktów prawnych (Dz. U. poz. 2039, z późn. zm.).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Projekt ustawy został udostępniony w Biuletynie Informacji Publicznej na stronie podmiotowej Ministerstwa Rolnictwa i Rozwoju Wsi, zg</w:t>
      </w:r>
      <w:r>
        <w:rPr>
          <w:rFonts w:eastAsia="Times New Roman" w:cs="Times New Roman"/>
          <w:bCs/>
        </w:rPr>
        <w:t>odnie z przepisami ustawy z </w:t>
      </w:r>
      <w:r w:rsidRPr="008A381F">
        <w:rPr>
          <w:rFonts w:eastAsia="Times New Roman" w:cs="Times New Roman"/>
          <w:bCs/>
        </w:rPr>
        <w:t>dnia 7 lipca 2005 r. o działalności lobbingowej w procesie stanowienia prawa (Dz. U. z 2017 r. poz. 248), oraz w Biuletynie Informacji Publicznej na stronie podmiotowej Rządowego Centrum Legislacji.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Projekt ustawy nie ma wpływu na działalność mik</w:t>
      </w:r>
      <w:r>
        <w:rPr>
          <w:rFonts w:eastAsia="Times New Roman" w:cs="Times New Roman"/>
          <w:bCs/>
        </w:rPr>
        <w:t>roprzedsiębiorców oraz małych i </w:t>
      </w:r>
      <w:r w:rsidRPr="008A381F">
        <w:rPr>
          <w:rFonts w:eastAsia="Times New Roman" w:cs="Times New Roman"/>
          <w:bCs/>
        </w:rPr>
        <w:t>średnich przedsiębiorców.</w:t>
      </w:r>
    </w:p>
    <w:p w:rsidR="008A381F" w:rsidRPr="008A381F" w:rsidRDefault="008A381F" w:rsidP="008A381F">
      <w:pPr>
        <w:suppressAutoHyphens/>
        <w:spacing w:before="120"/>
        <w:jc w:val="both"/>
        <w:rPr>
          <w:rFonts w:eastAsia="Times New Roman" w:cs="Times New Roman"/>
          <w:bCs/>
        </w:rPr>
      </w:pPr>
      <w:r w:rsidRPr="008A381F">
        <w:rPr>
          <w:rFonts w:eastAsia="Times New Roman" w:cs="Times New Roman"/>
          <w:bCs/>
        </w:rPr>
        <w:t>Wprowadzane zmiany nie będą miały wpływu na sytuację ekonomiczną i społeczną rodziny, a także osób niepełnosprawnych oraz osób starszych.</w:t>
      </w:r>
    </w:p>
    <w:p w:rsidR="00CC5368" w:rsidRDefault="00CC5368" w:rsidP="008A381F">
      <w:pPr>
        <w:spacing w:before="120"/>
        <w:rPr>
          <w:rFonts w:cs="Times New Roman"/>
        </w:rPr>
      </w:pPr>
    </w:p>
    <w:p w:rsidR="008A381F" w:rsidRPr="00675003" w:rsidRDefault="008A381F" w:rsidP="008A381F">
      <w:pPr>
        <w:spacing w:before="120"/>
        <w:rPr>
          <w:rFonts w:cs="Times New Roman"/>
          <w:sz w:val="16"/>
          <w:szCs w:val="16"/>
        </w:rPr>
      </w:pPr>
    </w:p>
    <w:sectPr w:rsidR="008A381F" w:rsidRPr="00675003" w:rsidSect="008A381F">
      <w:footerReference w:type="default" r:id="rId7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81F" w:rsidRDefault="008A381F" w:rsidP="008A381F">
      <w:pPr>
        <w:spacing w:line="240" w:lineRule="auto"/>
      </w:pPr>
      <w:r>
        <w:separator/>
      </w:r>
    </w:p>
  </w:endnote>
  <w:endnote w:type="continuationSeparator" w:id="0">
    <w:p w:rsidR="008A381F" w:rsidRDefault="008A381F" w:rsidP="008A3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8863150"/>
      <w:docPartObj>
        <w:docPartGallery w:val="Page Numbers (Bottom of Page)"/>
        <w:docPartUnique/>
      </w:docPartObj>
    </w:sdtPr>
    <w:sdtEndPr/>
    <w:sdtContent>
      <w:p w:rsidR="008A381F" w:rsidRDefault="008A381F" w:rsidP="008A381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DA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81F" w:rsidRDefault="008A381F" w:rsidP="008A381F">
      <w:pPr>
        <w:spacing w:line="240" w:lineRule="auto"/>
      </w:pPr>
      <w:r>
        <w:separator/>
      </w:r>
    </w:p>
  </w:footnote>
  <w:footnote w:type="continuationSeparator" w:id="0">
    <w:p w:rsidR="008A381F" w:rsidRDefault="008A381F" w:rsidP="008A381F">
      <w:pPr>
        <w:spacing w:line="240" w:lineRule="auto"/>
      </w:pPr>
      <w:r>
        <w:continuationSeparator/>
      </w:r>
    </w:p>
  </w:footnote>
  <w:footnote w:id="1">
    <w:p w:rsidR="008A381F" w:rsidRDefault="008A381F" w:rsidP="008A381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  <w:specVanish w:val="0"/>
        </w:rPr>
        <w:t>)</w:t>
      </w:r>
      <w:r>
        <w:tab/>
        <w:t>Rozporządzenie wykonawcze Komisji (UE) nr 809/2014 z dnia 17 lipca 2014 r. ustanawiające zasady stosowania rozporządzenia Parlamentu Europejskiego i Rady (UE) nr 1306/2013 w odniesieniu do zintegrowanego systemu zarządzania i kontroli, środków rozwoju obszarów wiejskich oraz zasady wzajemnej zgodności (Dz. Urz. UE L 227 z 31.07.2014, str. 69, z późn. zm.).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2D47A2"/>
    <w:multiLevelType w:val="hybridMultilevel"/>
    <w:tmpl w:val="8878C9B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>
      <w:start w:val="1"/>
      <w:numFmt w:val="lowerLetter"/>
      <w:lvlText w:val="%2."/>
      <w:lvlJc w:val="left"/>
      <w:pPr>
        <w:ind w:left="1950" w:hanging="360"/>
      </w:pPr>
    </w:lvl>
    <w:lvl w:ilvl="2" w:tplc="0415001B">
      <w:start w:val="1"/>
      <w:numFmt w:val="lowerRoman"/>
      <w:lvlText w:val="%3."/>
      <w:lvlJc w:val="right"/>
      <w:pPr>
        <w:ind w:left="2670" w:hanging="180"/>
      </w:pPr>
    </w:lvl>
    <w:lvl w:ilvl="3" w:tplc="0415000F">
      <w:start w:val="1"/>
      <w:numFmt w:val="decimal"/>
      <w:lvlText w:val="%4."/>
      <w:lvlJc w:val="left"/>
      <w:pPr>
        <w:ind w:left="3390" w:hanging="360"/>
      </w:pPr>
    </w:lvl>
    <w:lvl w:ilvl="4" w:tplc="04150019">
      <w:start w:val="1"/>
      <w:numFmt w:val="lowerLetter"/>
      <w:lvlText w:val="%5."/>
      <w:lvlJc w:val="left"/>
      <w:pPr>
        <w:ind w:left="4110" w:hanging="360"/>
      </w:pPr>
    </w:lvl>
    <w:lvl w:ilvl="5" w:tplc="0415001B">
      <w:start w:val="1"/>
      <w:numFmt w:val="lowerRoman"/>
      <w:lvlText w:val="%6."/>
      <w:lvlJc w:val="right"/>
      <w:pPr>
        <w:ind w:left="4830" w:hanging="180"/>
      </w:pPr>
    </w:lvl>
    <w:lvl w:ilvl="6" w:tplc="0415000F">
      <w:start w:val="1"/>
      <w:numFmt w:val="decimal"/>
      <w:lvlText w:val="%7."/>
      <w:lvlJc w:val="left"/>
      <w:pPr>
        <w:ind w:left="5550" w:hanging="360"/>
      </w:pPr>
    </w:lvl>
    <w:lvl w:ilvl="7" w:tplc="04150019">
      <w:start w:val="1"/>
      <w:numFmt w:val="lowerLetter"/>
      <w:lvlText w:val="%8."/>
      <w:lvlJc w:val="left"/>
      <w:pPr>
        <w:ind w:left="6270" w:hanging="360"/>
      </w:pPr>
    </w:lvl>
    <w:lvl w:ilvl="8" w:tplc="0415001B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81F"/>
    <w:rsid w:val="001865AB"/>
    <w:rsid w:val="001F1333"/>
    <w:rsid w:val="002938E2"/>
    <w:rsid w:val="00414C85"/>
    <w:rsid w:val="0048394F"/>
    <w:rsid w:val="00580852"/>
    <w:rsid w:val="00675003"/>
    <w:rsid w:val="006F1DA3"/>
    <w:rsid w:val="00715AC7"/>
    <w:rsid w:val="00743706"/>
    <w:rsid w:val="00837E0F"/>
    <w:rsid w:val="00842CC4"/>
    <w:rsid w:val="008A381F"/>
    <w:rsid w:val="00923609"/>
    <w:rsid w:val="00967101"/>
    <w:rsid w:val="00CC5368"/>
    <w:rsid w:val="00E844EB"/>
    <w:rsid w:val="00EE4004"/>
    <w:rsid w:val="00EE45A8"/>
    <w:rsid w:val="00F20CCF"/>
    <w:rsid w:val="00F5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98CBDF-3002-4D2E-8456-C305A1AC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381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RTzmartartykuempunktem">
    <w:name w:val="Z/ART(§) – zm. art. (§) artykułem (punktem)"/>
    <w:basedOn w:val="Normalny"/>
    <w:uiPriority w:val="30"/>
    <w:qFormat/>
    <w:rsid w:val="008A381F"/>
    <w:pPr>
      <w:widowControl/>
      <w:suppressAutoHyphens/>
      <w:ind w:left="510" w:firstLine="510"/>
      <w:jc w:val="both"/>
    </w:pPr>
    <w:rPr>
      <w:rFonts w:ascii="Times" w:hAnsi="Times"/>
    </w:rPr>
  </w:style>
  <w:style w:type="paragraph" w:customStyle="1" w:styleId="ODNONIKtreodnonika">
    <w:name w:val="ODNOŚNIK – treść odnośnika"/>
    <w:uiPriority w:val="19"/>
    <w:qFormat/>
    <w:rsid w:val="008A381F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dolnego">
    <w:name w:val="footnote reference"/>
    <w:aliases w:val="Odwołanie przypisu"/>
    <w:uiPriority w:val="99"/>
    <w:semiHidden/>
    <w:unhideWhenUsed/>
    <w:rsid w:val="008A381F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basedOn w:val="Domylnaczcionkaakapitu"/>
    <w:uiPriority w:val="2"/>
    <w:qFormat/>
    <w:rsid w:val="008A381F"/>
    <w:rPr>
      <w:b w:val="0"/>
      <w:bCs w:val="0"/>
      <w:i w:val="0"/>
      <w:iCs w:val="0"/>
      <w:vanish w:val="0"/>
      <w:webHidden w:val="0"/>
      <w:spacing w:val="0"/>
      <w:vertAlign w:val="superscript"/>
      <w:specVanish w:val="0"/>
    </w:rPr>
  </w:style>
  <w:style w:type="paragraph" w:styleId="Nagwek">
    <w:name w:val="header"/>
    <w:basedOn w:val="Normalny"/>
    <w:link w:val="NagwekZnak"/>
    <w:uiPriority w:val="99"/>
    <w:unhideWhenUsed/>
    <w:rsid w:val="008A3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81F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3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81F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7E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7E0F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2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1253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Bodych Dominika</dc:creator>
  <cp:lastModifiedBy>Grażyna D. Grabowska</cp:lastModifiedBy>
  <cp:revision>2</cp:revision>
  <dcterms:created xsi:type="dcterms:W3CDTF">2019-01-09T14:39:00Z</dcterms:created>
  <dcterms:modified xsi:type="dcterms:W3CDTF">2019-01-09T14:39:00Z</dcterms:modified>
</cp:coreProperties>
</file>